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8F9F4"/>
        <w:tblCellMar>
          <w:left w:w="0" w:type="dxa"/>
          <w:right w:w="0" w:type="dxa"/>
        </w:tblCellMar>
        <w:tblLook w:val="04A0"/>
      </w:tblPr>
      <w:tblGrid>
        <w:gridCol w:w="8306"/>
      </w:tblGrid>
      <w:tr w:rsidR="00E569AB" w:rsidRPr="00E569AB" w:rsidTr="00E569AB">
        <w:trPr>
          <w:tblCellSpacing w:w="0" w:type="dxa"/>
        </w:trPr>
        <w:tc>
          <w:tcPr>
            <w:tcW w:w="0" w:type="auto"/>
            <w:shd w:val="clear" w:color="auto" w:fill="F8F9F4"/>
            <w:vAlign w:val="center"/>
            <w:hideMark/>
          </w:tcPr>
          <w:p w:rsidR="00E569AB" w:rsidRPr="00E569AB" w:rsidRDefault="00E569AB" w:rsidP="00E569AB">
            <w:pPr>
              <w:widowControl/>
              <w:spacing w:line="450" w:lineRule="atLeast"/>
              <w:jc w:val="center"/>
              <w:rPr>
                <w:rFonts w:ascii="黑体" w:eastAsia="黑体" w:hAnsi="宋体" w:cs="宋体"/>
                <w:color w:val="587C19"/>
                <w:kern w:val="0"/>
                <w:sz w:val="33"/>
                <w:szCs w:val="33"/>
              </w:rPr>
            </w:pPr>
            <w:r w:rsidRPr="00E569AB">
              <w:rPr>
                <w:rFonts w:ascii="黑体" w:eastAsia="黑体" w:hAnsi="宋体" w:cs="宋体" w:hint="eastAsia"/>
                <w:color w:val="587C19"/>
                <w:kern w:val="0"/>
                <w:sz w:val="33"/>
                <w:szCs w:val="33"/>
              </w:rPr>
              <w:t>国务院下发文件加强中央财政科研项目和资金管理</w:t>
            </w:r>
          </w:p>
        </w:tc>
      </w:tr>
      <w:tr w:rsidR="00E569AB" w:rsidRPr="00E569AB" w:rsidTr="00E569AB">
        <w:trPr>
          <w:tblCellSpacing w:w="0" w:type="dxa"/>
        </w:trPr>
        <w:tc>
          <w:tcPr>
            <w:tcW w:w="0" w:type="auto"/>
            <w:shd w:val="clear" w:color="auto" w:fill="F8F9F4"/>
            <w:vAlign w:val="center"/>
            <w:hideMark/>
          </w:tcPr>
          <w:p w:rsidR="00E569AB" w:rsidRPr="00E569AB" w:rsidRDefault="00E569AB" w:rsidP="00E569AB">
            <w:pPr>
              <w:widowControl/>
              <w:spacing w:line="300" w:lineRule="atLeast"/>
              <w:jc w:val="center"/>
              <w:rPr>
                <w:rFonts w:ascii="宋体" w:eastAsia="宋体" w:hAnsi="宋体" w:cs="宋体"/>
                <w:color w:val="333333"/>
                <w:kern w:val="0"/>
                <w:sz w:val="20"/>
                <w:szCs w:val="20"/>
              </w:rPr>
            </w:pPr>
          </w:p>
        </w:tc>
      </w:tr>
    </w:tbl>
    <w:p w:rsidR="00E569AB" w:rsidRPr="00E569AB" w:rsidRDefault="00E569AB" w:rsidP="00E569AB">
      <w:pPr>
        <w:widowControl/>
        <w:shd w:val="clear" w:color="auto" w:fill="F8F9F4"/>
        <w:spacing w:line="360" w:lineRule="atLeast"/>
        <w:jc w:val="left"/>
        <w:rPr>
          <w:rFonts w:ascii="宋体" w:eastAsia="宋体" w:hAnsi="宋体" w:cs="宋体"/>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center"/>
        <w:rPr>
          <w:rFonts w:ascii="宋体" w:eastAsia="宋体" w:hAnsi="宋体" w:cs="宋体" w:hint="eastAsia"/>
          <w:color w:val="000000"/>
          <w:kern w:val="0"/>
          <w:szCs w:val="21"/>
        </w:rPr>
      </w:pPr>
      <w:r w:rsidRPr="00E569AB">
        <w:rPr>
          <w:rFonts w:ascii="宋体" w:eastAsia="宋体" w:hAnsi="宋体" w:cs="宋体" w:hint="eastAsia"/>
          <w:b/>
          <w:bCs/>
          <w:color w:val="000000"/>
          <w:kern w:val="0"/>
          <w:sz w:val="27"/>
        </w:rPr>
        <w:t>国务院关于改进加强中央财政科研项目和资金管理的若干意见</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center"/>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国发〔2014〕11号</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各省、自治区、直辖市人民政府，国务院各部委、各直属机构：</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国家中长期科学和技术发展规划纲要（2006-2020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国务院关于深化科技体制改革加快国家创新体系建设的意见》（中发〔2012〕6号）的要求，现就改进加强中央财政民口科研项目和资金管理提出如下意见。</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b/>
          <w:bCs/>
          <w:color w:val="000000"/>
          <w:kern w:val="0"/>
        </w:rPr>
        <w:t>一、改进加强科研项目和资金管理的总体要求</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（一）总体目标。</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（二）基本原则。</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坚持改革创新。推进政府职能转变，发挥好财政科技投入的引导激励作用和市场配置各类创新要素的导向作用。加强管理创新和统筹协调，对科研项目和资金管理各环节进行系统化改革，以改革释放创新活力。</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lastRenderedPageBreak/>
        <w:t>——坚持公正公开。强化科研项目和资金管理信息公开，加强科研诚信建设和信用管理，着力营造以人为本、公平竞争、充分激发科研人员创新热情的良好环境。</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——坚持规范高效。明确科研项目、资金管理和执行各方的职责，优化管理流程，建立健全决策、执行、评价相对分开、互相监督的运行机制，提高管理的科学化、规范化、精细化水平。</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b/>
          <w:bCs/>
          <w:color w:val="000000"/>
          <w:kern w:val="0"/>
        </w:rPr>
        <w:t>二、加强科研项目和资金配置的统筹协调</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三）优化整合各类科技计划（专项、基金等）。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四）建立健全统筹协调与决策机制。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五）建设国家科技管理信息系统。科技行政主管部门、财政部门会同有关部门和地方在现有各类科技计划（专项、基金等）科研项目数据库基础上，按照统一的数据结构、接口标准和信息安全规范，在2014年底前基本建成中央财政科研项目数据库；2015年底前基本实现与地方科研项目数据资源的互联互通，建成统一的国家科技管理信息系统，并向社会开放服务。</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b/>
          <w:bCs/>
          <w:color w:val="000000"/>
          <w:kern w:val="0"/>
        </w:rPr>
        <w:t>三、实行科研项目分类管理</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六）基础前沿科研项目突出创新导向。基础、前沿类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w:t>
      </w:r>
      <w:r w:rsidRPr="00E569AB">
        <w:rPr>
          <w:rFonts w:ascii="宋体" w:eastAsia="宋体" w:hAnsi="宋体" w:cs="宋体" w:hint="eastAsia"/>
          <w:color w:val="000000"/>
          <w:kern w:val="0"/>
          <w:szCs w:val="21"/>
        </w:rPr>
        <w:lastRenderedPageBreak/>
        <w:t>研人员的支持力度。项目主管部门要减少项目执行中的检查评价，发挥好学术咨询机构、协会、学会的咨询作用，营造“鼓励探索、宽容失败”的实施环境。</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七）公益性科研项目聚焦重大需求。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八）市场导向类项目突出企业主体。明晰政府与市场的边界，充分发挥市场对技术研发方向、路线选择、要素价格、各类创新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后补助”及间接投入等方式给予支持，形成主要由市场决定技术创新项目和资金分配、评价成果的机制以及企业主导项目组织实施的机制。</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九）重大项目突出国家目标导向。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b/>
          <w:bCs/>
          <w:color w:val="000000"/>
          <w:kern w:val="0"/>
        </w:rPr>
        <w:t>四、改进科研项目管理流程</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十）改革项目指南制定和发布机制。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50天，以保证科研人员有充足时间申报项目。</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十一）规范项目立项。项目申请单位应当认真组织项目申报，根据科研工作实际需要选择项目合作单位。项目主管部门要完善公平竞争的项目遴选机制，通过公开择优、定向择优等方式确定项目承担者；要规范立项审查行为，健全立项管理的内部控制制度，对项目申请者及其合作方的资质、科研能力等进行重点审核，加强项目查重，避免一题多报或重复</w:t>
      </w:r>
      <w:r w:rsidRPr="00E569AB">
        <w:rPr>
          <w:rFonts w:ascii="宋体" w:eastAsia="宋体" w:hAnsi="宋体" w:cs="宋体" w:hint="eastAsia"/>
          <w:color w:val="000000"/>
          <w:kern w:val="0"/>
          <w:szCs w:val="21"/>
        </w:rPr>
        <w:lastRenderedPageBreak/>
        <w:t>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120个工作日。要明示项目审批流程，使项目申请者能够及时查询立项工作进展，实现立项过程“可申诉、可查询、可追溯”。</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十二）明确项目过程管理职责。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十三）加强项目验收和结题审查。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书组织验收，将项目验收结果纳入国家科技报告。探索开展重大项目决策、实施、成果转化的后评价。</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b/>
          <w:bCs/>
          <w:color w:val="000000"/>
          <w:kern w:val="0"/>
        </w:rPr>
        <w:t>五、改进科研项目资金管理</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十四）规范项目预算编制。项目申请单位应当按规定科学合理、实事求是地编制项目预算，并对仪器设备购置、合作单位资质及拟外拨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十五）及时拨付项目资金。项目主管部门要合理控制项目和预算评估评审时间，加强项目立项和预算下达的衔接，及时批复项目和预算。相关部门和单位要按照财政国库管理制度相关规定，结合项目实施和资金使用进度，及时合规办理资金支付。实行部门预算批复前项目资金预拨制度，保证科研任务顺利实施。对于有明确目标的重大项目，按照关键节点任务完成情况进行拨款。</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十六）规范直接费用支出管理。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lastRenderedPageBreak/>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十七）完善间接费用和管理费用管理。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规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十八）改进项目结转结余资金管理办法。项目在研期间，年度剩余资金可以结转下一年度继续使用。项目完成任务目标并通过验收，且承担单位信用评价好的，项目结余资金按规定在一定期限内由单位统筹安排用于科研活动的直接支出，并将使用情况报项目主管部门；未通过验收和整改后通过验收的项目，或承担单位信用评价差的，结余资金按原渠道收回。</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十九）完善单位预算管理办法。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b/>
          <w:bCs/>
          <w:color w:val="000000"/>
          <w:kern w:val="0"/>
        </w:rPr>
        <w:t>六、加强科研项目和资金监管</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十）规范科研项目资金使用行为。科研人员和项目承担单位要依法依规使用项目资金，不得擅自调整外拨资金，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以表代账应付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十一）改进科研项目资金结算方式。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支出，原则上应当通过银行转账方式结算。</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w:t>
      </w:r>
      <w:r w:rsidRPr="00E569AB">
        <w:rPr>
          <w:rFonts w:ascii="宋体" w:eastAsia="宋体" w:hAnsi="宋体" w:cs="宋体" w:hint="eastAsia"/>
          <w:color w:val="000000"/>
          <w:kern w:val="0"/>
          <w:szCs w:val="21"/>
        </w:rPr>
        <w:lastRenderedPageBreak/>
        <w:t>项目主管部门应共享信用评价信息。建立“黑名单”制度，将严重不良信用记录者记入“黑名单”，阶段性或永久取消其申请中央财政资助项目或参与项目管理的资格。</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十三）加大对违规行为的惩处力度。建立完善覆盖项目决策、管理、实施主体的逐级考核问责机制。有关部门要加强科研项目和资金监管工作，严肃处理违规行为，按规定采取通报批评、暂停项目拨款、终止项目执行、追回已拨项目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b/>
          <w:bCs/>
          <w:color w:val="000000"/>
          <w:kern w:val="0"/>
        </w:rPr>
        <w:t>七、加强相关制度建设</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十四）建立健全信息公开制度。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十五）建立国家科技报告制度。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十六）改进专家遴选制度。充分发挥专家咨询作用，项目评估评审应当以同行专家为主，吸收海外高水平专家参与，评估评审专家中一线科研人员的比例应当达到75%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十七）完善激发创新创造活力的相关制度和政策。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b/>
          <w:bCs/>
          <w:color w:val="000000"/>
          <w:kern w:val="0"/>
        </w:rPr>
        <w:t>八、明确和落实各方管理责任</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lastRenderedPageBreak/>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十八）项目承担单位要强化法人责任。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二十九）有关部门要落实管理和服务责任。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规开展科研活动，做好经常性的政策宣传、培训和科研项目实施中的服务工作。</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各地区要参照本意见，制定加强本地财政科研项目和资金管理的办法。</w:t>
      </w:r>
    </w:p>
    <w:p w:rsidR="00E569AB" w:rsidRPr="00E569AB" w:rsidRDefault="00E569AB" w:rsidP="00E569AB">
      <w:pPr>
        <w:widowControl/>
        <w:shd w:val="clear" w:color="auto" w:fill="F8F9F4"/>
        <w:spacing w:line="360" w:lineRule="atLeast"/>
        <w:jc w:val="lef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righ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国务院</w:t>
      </w:r>
    </w:p>
    <w:p w:rsidR="00E569AB" w:rsidRPr="00E569AB" w:rsidRDefault="00E569AB" w:rsidP="00E569AB">
      <w:pPr>
        <w:widowControl/>
        <w:shd w:val="clear" w:color="auto" w:fill="F8F9F4"/>
        <w:spacing w:line="360" w:lineRule="atLeast"/>
        <w:jc w:val="righ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 </w:t>
      </w:r>
    </w:p>
    <w:p w:rsidR="00E569AB" w:rsidRPr="00E569AB" w:rsidRDefault="00E569AB" w:rsidP="00E569AB">
      <w:pPr>
        <w:widowControl/>
        <w:shd w:val="clear" w:color="auto" w:fill="F8F9F4"/>
        <w:spacing w:line="360" w:lineRule="atLeast"/>
        <w:ind w:firstLine="480"/>
        <w:jc w:val="right"/>
        <w:rPr>
          <w:rFonts w:ascii="宋体" w:eastAsia="宋体" w:hAnsi="宋体" w:cs="宋体" w:hint="eastAsia"/>
          <w:color w:val="000000"/>
          <w:kern w:val="0"/>
          <w:szCs w:val="21"/>
        </w:rPr>
      </w:pPr>
      <w:r w:rsidRPr="00E569AB">
        <w:rPr>
          <w:rFonts w:ascii="宋体" w:eastAsia="宋体" w:hAnsi="宋体" w:cs="宋体" w:hint="eastAsia"/>
          <w:color w:val="000000"/>
          <w:kern w:val="0"/>
          <w:szCs w:val="21"/>
        </w:rPr>
        <w:t>2014年3月3日</w:t>
      </w:r>
    </w:p>
    <w:p w:rsidR="000C2DBE" w:rsidRDefault="000C2DBE">
      <w:pPr>
        <w:rPr>
          <w:rFonts w:hint="eastAsia"/>
        </w:rPr>
      </w:pPr>
    </w:p>
    <w:sectPr w:rsidR="000C2D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DBE" w:rsidRDefault="000C2DBE" w:rsidP="00E569AB">
      <w:r>
        <w:separator/>
      </w:r>
    </w:p>
  </w:endnote>
  <w:endnote w:type="continuationSeparator" w:id="1">
    <w:p w:rsidR="000C2DBE" w:rsidRDefault="000C2DBE" w:rsidP="00E569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DBE" w:rsidRDefault="000C2DBE" w:rsidP="00E569AB">
      <w:r>
        <w:separator/>
      </w:r>
    </w:p>
  </w:footnote>
  <w:footnote w:type="continuationSeparator" w:id="1">
    <w:p w:rsidR="000C2DBE" w:rsidRDefault="000C2DBE" w:rsidP="00E569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69AB"/>
    <w:rsid w:val="000C2DBE"/>
    <w:rsid w:val="00E569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6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69AB"/>
    <w:rPr>
      <w:sz w:val="18"/>
      <w:szCs w:val="18"/>
    </w:rPr>
  </w:style>
  <w:style w:type="paragraph" w:styleId="a4">
    <w:name w:val="footer"/>
    <w:basedOn w:val="a"/>
    <w:link w:val="Char0"/>
    <w:uiPriority w:val="99"/>
    <w:semiHidden/>
    <w:unhideWhenUsed/>
    <w:rsid w:val="00E569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69AB"/>
    <w:rPr>
      <w:sz w:val="18"/>
      <w:szCs w:val="18"/>
    </w:rPr>
  </w:style>
  <w:style w:type="character" w:styleId="a5">
    <w:name w:val="Strong"/>
    <w:basedOn w:val="a0"/>
    <w:uiPriority w:val="22"/>
    <w:qFormat/>
    <w:rsid w:val="00E569AB"/>
    <w:rPr>
      <w:b/>
      <w:bCs/>
    </w:rPr>
  </w:style>
</w:styles>
</file>

<file path=word/webSettings.xml><?xml version="1.0" encoding="utf-8"?>
<w:webSettings xmlns:r="http://schemas.openxmlformats.org/officeDocument/2006/relationships" xmlns:w="http://schemas.openxmlformats.org/wordprocessingml/2006/main">
  <w:divs>
    <w:div w:id="11463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1009</Words>
  <Characters>5755</Characters>
  <Application>Microsoft Office Word</Application>
  <DocSecurity>0</DocSecurity>
  <Lines>47</Lines>
  <Paragraphs>13</Paragraphs>
  <ScaleCrop>false</ScaleCrop>
  <Company>Lenovo (Beijing) Limited</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2014-06-10T05:14:00Z</dcterms:created>
  <dcterms:modified xsi:type="dcterms:W3CDTF">2014-06-10T05:14:00Z</dcterms:modified>
</cp:coreProperties>
</file>